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е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644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 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е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644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«Харп-Энерго-Газ» тарифов на питьевую воду и тарифов на горячую воду для расчетов с потребителями поселка городского типа Харп городского округа город Лабытнанги Ямало-Ненецкого автономного округа и долгосрочных параме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тров регулирования тарифов на 2024 - 2028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418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е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644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644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</w:t>
      </w:r>
      <w:r>
        <w:rPr>
          <w:rFonts w:ascii="Liberation Sans" w:hAnsi="Liberation Sans" w:eastAsia="Liberation Serif" w:cs="Liberation Sans"/>
          <w:sz w:val="24"/>
        </w:rPr>
        <w:t xml:space="preserve">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682-т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 и тарифы на горячую воду,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«Харп-Энерго-Газ»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городского типа Харп городского округа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I. Тарифы на питьевую воду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254,64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348,93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288,46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307,01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307,01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326,76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326,76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347,79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55,56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59,73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59,73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61,55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66,67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71,67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71,67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73,86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II. Тарифы на горячую воду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2</w:t>
      </w:r>
      <w:r>
        <w:rPr>
          <w:sz w:val="24"/>
          <w:szCs w:val="24"/>
        </w:rPr>
      </w:r>
      <w:r/>
    </w:p>
    <w:tbl>
      <w:tblPr>
        <w:tblW w:w="500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38"/>
        <w:gridCol w:w="1407"/>
        <w:gridCol w:w="4502"/>
        <w:gridCol w:w="4695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938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02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W w:w="469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38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5396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6029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254,64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6029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7838</w:t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348,93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6736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7526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288,46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307,01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7526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8409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307,01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326,76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8409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9395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326,76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347,79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55,56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59,73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1734,70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59,73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61,55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1909,76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66,67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71,67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2081,64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71,67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73,86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3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0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9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</w:tbl>
    <w:p>
      <w:pPr>
        <w:ind w:left="0" w:right="-283" w:firstLine="708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3"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</w:t>
        <w:br/>
        <w:t xml:space="preserve">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-312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p>
      <w:pPr>
        <w:ind w:left="0" w:right="-283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bCs/>
          <w:color w:val="ffffff"/>
          <w:sz w:val="20"/>
          <w:szCs w:val="20"/>
        </w:rPr>
        <w:t xml:space="preserve">  </w:t>
      </w:r>
      <w:r>
        <w:rPr>
          <w:rFonts w:ascii="Liberation Sans" w:hAnsi="Liberation Sans" w:eastAsia="Liberation Serif" w:cs="Liberation Sans"/>
          <w:bCs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».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BC4FDCB53AB2EC8B14B6B3AE8120CF99E618AD28C81A94C69A1C057EC095CEE9BB73B2CF9B88F0D7DA4765HEQ0F" TargetMode="External"/><Relationship Id="rId17" Type="http://schemas.openxmlformats.org/officeDocument/2006/relationships/hyperlink" Target="consultantplus://offline/ref=BC4FDCB53AB2EC8B14B6B3AE8120CF99E618AD28C81A94C69A1C057EC095CEE9BB73B2CF9B88F0D7DA4765HEQFF" TargetMode="External"/><Relationship Id="rId18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modified xsi:type="dcterms:W3CDTF">2024-12-25T13:44:04Z</dcterms:modified>
</cp:coreProperties>
</file>